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Graphic designers, under direct supervision, duties may include, but are not limited to: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Assisting in the production of marketing materials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Making signs, flyers, brochures, and newspaper ads used to promote events, programs and initiatives.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Creating graphic arts.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Creation of athletic social media account templates</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EWU Athletic Marketing/Creative Services and Assistant Athletic Director of Marketing and Creative Services.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have the potential to work events. Potential to work quarter breaks Up to 19 hours per week. Flexibility to work in office or remotely</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creative mind and be able to keep up with industry standards.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some working knowledge, understanding and background in sports pertaining to graphic design.</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manual dexterity to accurately and safely use tools (e.g. x-acto knife, etc.).</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and be proficient in using graphic design programs, including Adobe Creative Suites (i.e. Illustrator, Photoshop, InDesign, Premiere Pro, etc.).</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self-motivated with a willingness to learn, have a positive attitude, and have the ability to take direction, receive constructive feedback, and work well with others.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as part of a team, be reliable, responsive, meet deadlines, be organized and possess time management skills, demonstrate attention to detail, and be sensitive to the needs of a diverse population.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interested and engaged in developing professionally.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Visual Communication Design (Graphic Design) major.</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Owns a proficient computer with access to Adobe Creative Suite. This is ideal for individuals to work remotely. Computer with Adobe Creative Suite is available in the office.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Develop visual materials aligned with branding.</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Present design options to marketing leads.</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video, ops, and marketing teams.</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Create graphics that are representative of EWU and events.</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Meet deadlines for promotional campaigns.</w:t>
      </w:r>
    </w:p>
    <w:p w:rsidR="00000000" w:rsidDel="00000000" w:rsidP="00000000" w:rsidRDefault="00000000" w:rsidRPr="00000000" w14:paraId="00000031">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Develop sports branding design portfolio.</w:t>
      </w:r>
    </w:p>
    <w:p w:rsidR="00000000" w:rsidDel="00000000" w:rsidP="00000000" w:rsidRDefault="00000000" w:rsidRPr="00000000" w14:paraId="00000033">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representation in marketing visuals.</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design software, digital layout, and branding tools.</w:t>
      </w:r>
    </w:p>
    <w:p w:rsidR="00000000" w:rsidDel="00000000" w:rsidP="00000000" w:rsidRDefault="00000000" w:rsidRPr="00000000" w14:paraId="00000037">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0">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Marketing Assist. 2 – Graphic Designer</w:t>
    </w:r>
    <w:r w:rsidDel="00000000" w:rsidR="00000000" w:rsidRPr="00000000">
      <w:rPr>
        <w:rtl w:val="0"/>
      </w:rPr>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