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Easterner Graphic Designer, under direct supervision, leads the visual team of the paper in support of the content. They report to the Editor in Chief, but must communicate with the entire team well.</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Graphic Designer is responsible for:</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Directing weekly photo assignments.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Planning story packages including text, photo and graphic elements.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section editors in page design.</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Supervising designer(s).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front page art and designing other pages as assigned.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Editing photos for print and web use.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and communicating mock up to the Editor in Chief and Managing Editor.</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2-3 office hours each week.</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in designing advertisements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Direct style and creation of standard pages and cover for each of the 30 regular issues of The Easterner and 3 issues of The Journal.</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This position will report to the Easterner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to the Editor in Chief, but they still are under the general supervision of the Easterner Director.</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i w:val="1"/>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hours per week based on availability.  This position may include some weekend and evening work.  </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Proficiency or experience in Adobe Creative Suite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Good organizational and communication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Demonstrated ability to work independently or as a member of the team  (all of the job descriptions for the Easterner)</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Demonstrated ability to take direction</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Previous experience/education designing for publications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Interpret content into visual design effectively.</w:t>
        <w:br w:type="textWrapping"/>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Present design proposals and revisions.</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alongside editors and photo staff.</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Deliver print-ready graphics on time.</w:t>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a portfolio and learn design best practices.</w:t>
        <w:br w:type="textWrapping"/>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Adobe Creative Suite and layout platforms.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The Easterner: Publication Assistant - Graphic Designer</w:t>
    </w: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